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656C1">
        <w:rPr>
          <w:rFonts w:ascii="Arial" w:hAnsi="Arial" w:cs="Arial"/>
          <w:b/>
          <w:sz w:val="28"/>
          <w:szCs w:val="28"/>
          <w:lang w:val="en-US"/>
        </w:rPr>
        <w:t>Компактор</w:t>
      </w:r>
      <w:proofErr w:type="spellEnd"/>
      <w:r w:rsidRPr="000656C1">
        <w:rPr>
          <w:rFonts w:ascii="Arial" w:hAnsi="Arial" w:cs="Arial"/>
          <w:b/>
          <w:sz w:val="28"/>
          <w:szCs w:val="28"/>
          <w:lang w:val="en-US"/>
        </w:rPr>
        <w:t xml:space="preserve"> NTM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0"/>
        <w:gridCol w:w="3280"/>
      </w:tblGrid>
      <w:tr w:rsidR="000656C1" w:rsidRPr="000656C1" w:rsidTr="000656C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656C1">
              <w:rPr>
                <w:rFonts w:ascii="Arial" w:hAnsi="Arial" w:cs="Arial"/>
                <w:lang w:val="en-US"/>
              </w:rPr>
              <w:t>Модель</w:t>
            </w:r>
            <w:proofErr w:type="spellEnd"/>
            <w:r w:rsidRPr="00065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lang w:val="en-US"/>
              </w:rPr>
              <w:t>компактора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656C1">
              <w:rPr>
                <w:rFonts w:ascii="Arial" w:hAnsi="Arial" w:cs="Arial"/>
                <w:bCs/>
                <w:lang w:val="en-US"/>
              </w:rPr>
              <w:t xml:space="preserve">NTM KGH 22 </w:t>
            </w:r>
            <w:proofErr w:type="spellStart"/>
            <w:r w:rsidRPr="000656C1">
              <w:rPr>
                <w:rFonts w:ascii="Arial" w:hAnsi="Arial" w:cs="Arial"/>
                <w:bCs/>
                <w:lang w:val="en-US"/>
              </w:rPr>
              <w:t>Финляндия</w:t>
            </w:r>
            <w:proofErr w:type="spellEnd"/>
          </w:p>
        </w:tc>
      </w:tr>
      <w:tr w:rsidR="000656C1" w:rsidRPr="000656C1" w:rsidTr="000656C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656C1">
              <w:rPr>
                <w:rFonts w:ascii="Arial" w:hAnsi="Arial" w:cs="Arial"/>
                <w:lang w:val="en-US"/>
              </w:rPr>
              <w:t>Объем</w:t>
            </w:r>
            <w:proofErr w:type="spellEnd"/>
            <w:r w:rsidRPr="00065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lang w:val="en-US"/>
              </w:rPr>
              <w:t>бункера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0656C1">
              <w:rPr>
                <w:rFonts w:ascii="Arial" w:hAnsi="Arial" w:cs="Arial"/>
                <w:bCs/>
                <w:lang w:val="en-US"/>
              </w:rPr>
              <w:t>22 м</w:t>
            </w:r>
            <w:r w:rsidRPr="000656C1">
              <w:rPr>
                <w:rFonts w:ascii="Arial" w:hAnsi="Arial" w:cs="Arial"/>
                <w:bCs/>
                <w:vertAlign w:val="superscript"/>
                <w:lang w:val="en-US"/>
              </w:rPr>
              <w:t>3</w:t>
            </w:r>
          </w:p>
        </w:tc>
      </w:tr>
      <w:tr w:rsidR="000656C1" w:rsidRPr="000656C1" w:rsidTr="000656C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656C1">
              <w:rPr>
                <w:rFonts w:ascii="Arial" w:hAnsi="Arial" w:cs="Arial"/>
                <w:lang w:val="en-US"/>
              </w:rPr>
              <w:t>Коэффициент</w:t>
            </w:r>
            <w:proofErr w:type="spellEnd"/>
            <w:r w:rsidRPr="00065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lang w:val="en-US"/>
              </w:rPr>
              <w:t>прессования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0656C1">
              <w:rPr>
                <w:rFonts w:ascii="Arial" w:hAnsi="Arial" w:cs="Arial"/>
                <w:bCs/>
                <w:lang w:val="en-US"/>
              </w:rPr>
              <w:t xml:space="preserve">1:5 (в </w:t>
            </w:r>
            <w:proofErr w:type="spellStart"/>
            <w:r w:rsidRPr="000656C1">
              <w:rPr>
                <w:rFonts w:ascii="Arial" w:hAnsi="Arial" w:cs="Arial"/>
                <w:bCs/>
                <w:lang w:val="en-US"/>
              </w:rPr>
              <w:t>зависимости</w:t>
            </w:r>
            <w:proofErr w:type="spellEnd"/>
            <w:r w:rsidRPr="000656C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bCs/>
                <w:lang w:val="en-US"/>
              </w:rPr>
              <w:t>от</w:t>
            </w:r>
            <w:proofErr w:type="spellEnd"/>
            <w:r w:rsidRPr="000656C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bCs/>
                <w:lang w:val="en-US"/>
              </w:rPr>
              <w:t>мусора</w:t>
            </w:r>
            <w:proofErr w:type="spellEnd"/>
            <w:r w:rsidRPr="000656C1">
              <w:rPr>
                <w:rFonts w:ascii="Arial" w:hAnsi="Arial" w:cs="Arial"/>
                <w:bCs/>
                <w:lang w:val="en-US"/>
              </w:rPr>
              <w:t>)</w:t>
            </w:r>
          </w:p>
        </w:tc>
      </w:tr>
      <w:tr w:rsidR="000656C1" w:rsidRPr="000656C1" w:rsidTr="000656C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656C1">
              <w:rPr>
                <w:rFonts w:ascii="Arial" w:hAnsi="Arial" w:cs="Arial"/>
                <w:lang w:val="en-US"/>
              </w:rPr>
              <w:t>Усилие</w:t>
            </w:r>
            <w:proofErr w:type="spellEnd"/>
            <w:r w:rsidRPr="00065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lang w:val="en-US"/>
              </w:rPr>
              <w:t>прессования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0656C1">
              <w:rPr>
                <w:rFonts w:ascii="Arial" w:hAnsi="Arial" w:cs="Arial"/>
                <w:bCs/>
                <w:lang w:val="en-US"/>
              </w:rPr>
              <w:t>300 KN ( 30 т )</w:t>
            </w:r>
          </w:p>
        </w:tc>
      </w:tr>
      <w:tr w:rsidR="000656C1" w:rsidRPr="000656C1" w:rsidTr="000656C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0656C1">
              <w:rPr>
                <w:rFonts w:ascii="Arial" w:hAnsi="Arial" w:cs="Arial"/>
                <w:lang w:val="en-US"/>
              </w:rPr>
              <w:t>Время</w:t>
            </w:r>
            <w:proofErr w:type="spellEnd"/>
            <w:r w:rsidRPr="00065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lang w:val="en-US"/>
              </w:rPr>
              <w:t>рабочего</w:t>
            </w:r>
            <w:proofErr w:type="spellEnd"/>
            <w:r w:rsidRPr="000656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656C1">
              <w:rPr>
                <w:rFonts w:ascii="Arial" w:hAnsi="Arial" w:cs="Arial"/>
                <w:lang w:val="en-US"/>
              </w:rPr>
              <w:t>цикла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6C1" w:rsidRPr="000656C1" w:rsidRDefault="000656C1" w:rsidP="000656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n-US"/>
              </w:rPr>
            </w:pPr>
            <w:r w:rsidRPr="000656C1">
              <w:rPr>
                <w:rFonts w:ascii="Arial" w:hAnsi="Arial" w:cs="Arial"/>
                <w:bCs/>
                <w:lang w:val="en-US"/>
              </w:rPr>
              <w:t xml:space="preserve">18 </w:t>
            </w:r>
            <w:proofErr w:type="spellStart"/>
            <w:r w:rsidRPr="000656C1">
              <w:rPr>
                <w:rFonts w:ascii="Arial" w:hAnsi="Arial" w:cs="Arial"/>
                <w:bCs/>
                <w:lang w:val="en-US"/>
              </w:rPr>
              <w:t>секунд</w:t>
            </w:r>
            <w:proofErr w:type="spellEnd"/>
          </w:p>
        </w:tc>
      </w:tr>
    </w:tbl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Cs/>
        </w:rPr>
      </w:pPr>
      <w:proofErr w:type="spellStart"/>
      <w:r w:rsidRPr="000656C1">
        <w:rPr>
          <w:rFonts w:ascii="Arial" w:hAnsi="Arial" w:cs="Arial"/>
          <w:lang w:val="en-US"/>
        </w:rPr>
        <w:t>Высота</w:t>
      </w:r>
      <w:proofErr w:type="spellEnd"/>
      <w:r w:rsidRPr="000656C1">
        <w:rPr>
          <w:rFonts w:ascii="Arial" w:hAnsi="Arial" w:cs="Arial"/>
          <w:lang w:val="en-US"/>
        </w:rPr>
        <w:t xml:space="preserve"> </w:t>
      </w:r>
      <w:proofErr w:type="spellStart"/>
      <w:r w:rsidRPr="000656C1">
        <w:rPr>
          <w:rFonts w:ascii="Arial" w:hAnsi="Arial" w:cs="Arial"/>
          <w:lang w:val="en-US"/>
        </w:rPr>
        <w:t>на</w:t>
      </w:r>
      <w:proofErr w:type="spellEnd"/>
      <w:r w:rsidRPr="000656C1">
        <w:rPr>
          <w:rFonts w:ascii="Arial" w:hAnsi="Arial" w:cs="Arial"/>
          <w:lang w:val="en-US"/>
        </w:rPr>
        <w:t xml:space="preserve"> </w:t>
      </w:r>
      <w:proofErr w:type="spellStart"/>
      <w:r w:rsidRPr="000656C1">
        <w:rPr>
          <w:rFonts w:ascii="Arial" w:hAnsi="Arial" w:cs="Arial"/>
          <w:lang w:val="en-US"/>
        </w:rPr>
        <w:t>рам</w:t>
      </w:r>
      <w:proofErr w:type="spellEnd"/>
      <w:r w:rsidRPr="000656C1">
        <w:rPr>
          <w:rFonts w:ascii="Arial" w:hAnsi="Arial" w:cs="Arial"/>
        </w:rPr>
        <w:t>е</w:t>
      </w:r>
      <w:r w:rsidRPr="000656C1">
        <w:rPr>
          <w:rFonts w:ascii="Arial" w:hAnsi="Arial" w:cs="Arial"/>
          <w:bCs/>
          <w:lang w:val="en-US"/>
        </w:rPr>
        <w:t xml:space="preserve">                              </w:t>
      </w:r>
      <w:r>
        <w:rPr>
          <w:rFonts w:ascii="Arial" w:hAnsi="Arial" w:cs="Arial"/>
          <w:bCs/>
        </w:rPr>
        <w:t xml:space="preserve">        </w:t>
      </w:r>
      <w:r w:rsidRPr="000656C1">
        <w:rPr>
          <w:rFonts w:ascii="Arial" w:hAnsi="Arial" w:cs="Arial"/>
          <w:bCs/>
          <w:lang w:val="en-US"/>
        </w:rPr>
        <w:t xml:space="preserve">2460 </w:t>
      </w:r>
      <w:r w:rsidRPr="000656C1">
        <w:rPr>
          <w:rFonts w:ascii="Arial" w:hAnsi="Arial" w:cs="Arial"/>
          <w:bCs/>
        </w:rPr>
        <w:t>мм</w:t>
      </w:r>
    </w:p>
    <w:p w:rsidR="000656C1" w:rsidRDefault="000656C1" w:rsidP="000656C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spellStart"/>
      <w:r w:rsidRPr="000656C1">
        <w:rPr>
          <w:rFonts w:ascii="Arial" w:hAnsi="Arial" w:cs="Arial"/>
          <w:lang w:val="en-US"/>
        </w:rPr>
        <w:t>Внутренняя</w:t>
      </w:r>
      <w:proofErr w:type="spellEnd"/>
      <w:r w:rsidRPr="000656C1">
        <w:rPr>
          <w:rFonts w:ascii="Arial" w:hAnsi="Arial" w:cs="Arial"/>
          <w:lang w:val="en-US"/>
        </w:rPr>
        <w:t xml:space="preserve"> </w:t>
      </w:r>
      <w:proofErr w:type="spellStart"/>
      <w:r w:rsidRPr="000656C1">
        <w:rPr>
          <w:rFonts w:ascii="Arial" w:hAnsi="Arial" w:cs="Arial"/>
          <w:lang w:val="en-US"/>
        </w:rPr>
        <w:t>высота</w:t>
      </w:r>
      <w:proofErr w:type="spellEnd"/>
      <w:r w:rsidRPr="000656C1">
        <w:rPr>
          <w:rFonts w:ascii="Arial" w:hAnsi="Arial" w:cs="Arial"/>
          <w:lang w:val="en-US"/>
        </w:rPr>
        <w:t xml:space="preserve">                             </w:t>
      </w:r>
      <w:r>
        <w:rPr>
          <w:rFonts w:ascii="Arial" w:hAnsi="Arial" w:cs="Arial"/>
        </w:rPr>
        <w:t xml:space="preserve">   </w:t>
      </w:r>
      <w:r w:rsidRPr="000656C1">
        <w:rPr>
          <w:rFonts w:ascii="Arial" w:hAnsi="Arial" w:cs="Arial"/>
          <w:bCs/>
          <w:lang w:val="en-US"/>
        </w:rPr>
        <w:t>2116</w:t>
      </w:r>
      <w:r w:rsidRPr="000656C1">
        <w:rPr>
          <w:rFonts w:ascii="Arial" w:hAnsi="Arial" w:cs="Arial"/>
          <w:lang w:val="en-US"/>
        </w:rPr>
        <w:t xml:space="preserve"> </w:t>
      </w:r>
      <w:proofErr w:type="spellStart"/>
      <w:r w:rsidRPr="000656C1">
        <w:rPr>
          <w:rFonts w:ascii="Arial" w:hAnsi="Arial" w:cs="Arial"/>
          <w:lang w:val="en-US"/>
        </w:rPr>
        <w:t>мм</w:t>
      </w:r>
      <w:proofErr w:type="spellEnd"/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</w:rPr>
      </w:pPr>
      <w:r w:rsidRPr="000656C1">
        <w:rPr>
          <w:rFonts w:ascii="Arial" w:hAnsi="Arial" w:cs="Arial"/>
          <w:b/>
        </w:rPr>
        <w:t>Подъемное  устройство для мусорных баков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</w:rPr>
        <w:t>Грузоподъемность:                    500 кг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0656C1">
        <w:rPr>
          <w:rFonts w:ascii="Arial" w:hAnsi="Arial" w:cs="Arial"/>
        </w:rPr>
        <w:t xml:space="preserve">Объем контейнеров: </w:t>
      </w:r>
      <w:r w:rsidRPr="000656C1">
        <w:rPr>
          <w:rFonts w:ascii="Arial" w:hAnsi="Arial" w:cs="Arial"/>
        </w:rPr>
        <w:t xml:space="preserve">                   140 – 1300 л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0656C1">
        <w:rPr>
          <w:rFonts w:ascii="Arial" w:hAnsi="Arial" w:cs="Arial"/>
        </w:rPr>
        <w:t xml:space="preserve">Лебедка </w:t>
      </w:r>
      <w:r w:rsidRPr="000656C1">
        <w:rPr>
          <w:rFonts w:ascii="Arial" w:hAnsi="Arial" w:cs="Arial"/>
        </w:rPr>
        <w:t xml:space="preserve">            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0656C1">
        <w:rPr>
          <w:rFonts w:ascii="Arial" w:hAnsi="Arial" w:cs="Arial"/>
        </w:rPr>
        <w:t>Грузоподъемность</w:t>
      </w:r>
      <w:r w:rsidRPr="000656C1">
        <w:rPr>
          <w:rFonts w:ascii="Arial" w:hAnsi="Arial" w:cs="Arial"/>
        </w:rPr>
        <w:t>:                       4000 кг</w:t>
      </w:r>
    </w:p>
    <w:p w:rsid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Cs/>
          <w:vertAlign w:val="superscript"/>
        </w:rPr>
      </w:pPr>
      <w:r w:rsidRPr="000656C1">
        <w:rPr>
          <w:rFonts w:ascii="Arial" w:hAnsi="Arial" w:cs="Arial"/>
        </w:rPr>
        <w:t>Объем контейнеро</w:t>
      </w:r>
      <w:r w:rsidRPr="000656C1">
        <w:rPr>
          <w:rFonts w:ascii="Arial" w:hAnsi="Arial" w:cs="Arial"/>
        </w:rPr>
        <w:t>в:                      4 – 6 м</w:t>
      </w:r>
      <w:r w:rsidRPr="000656C1">
        <w:rPr>
          <w:rFonts w:ascii="Arial" w:hAnsi="Arial" w:cs="Arial"/>
          <w:bCs/>
          <w:vertAlign w:val="superscript"/>
        </w:rPr>
        <w:t>3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</w:rPr>
      </w:pPr>
      <w:r w:rsidRPr="000656C1">
        <w:rPr>
          <w:rFonts w:ascii="Arial" w:hAnsi="Arial" w:cs="Arial"/>
          <w:b/>
        </w:rPr>
        <w:t>Гидравлическая система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0656C1">
        <w:rPr>
          <w:rFonts w:ascii="Arial" w:hAnsi="Arial" w:cs="Arial"/>
        </w:rPr>
        <w:t>Максимальное давление:              26 МПа (260 бар)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0656C1">
        <w:rPr>
          <w:rFonts w:ascii="Arial" w:hAnsi="Arial" w:cs="Arial"/>
        </w:rPr>
        <w:t xml:space="preserve">Компоненты гидравлической системы:        </w:t>
      </w:r>
      <w:r w:rsidRPr="000656C1">
        <w:rPr>
          <w:rFonts w:ascii="Arial" w:hAnsi="Arial" w:cs="Arial"/>
          <w:lang w:val="en-US"/>
        </w:rPr>
        <w:t>Parker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</w:rPr>
      </w:pPr>
      <w:r w:rsidRPr="000656C1">
        <w:rPr>
          <w:rFonts w:ascii="Arial" w:hAnsi="Arial" w:cs="Arial"/>
        </w:rPr>
        <w:t xml:space="preserve">Мусоровозы </w:t>
      </w:r>
      <w:r w:rsidRPr="000656C1">
        <w:rPr>
          <w:rFonts w:ascii="Arial" w:hAnsi="Arial" w:cs="Arial"/>
          <w:lang w:val="en-US"/>
        </w:rPr>
        <w:t>NTM</w:t>
      </w:r>
      <w:r w:rsidRPr="000656C1">
        <w:rPr>
          <w:rFonts w:ascii="Arial" w:hAnsi="Arial" w:cs="Arial"/>
        </w:rPr>
        <w:t xml:space="preserve"> отличаются высокой скоростью выполнения операций, простотой управление, высоким качеством гидравлической системы и низкими сервисными расходами. Управление подъемным устройством для контейнеров и лебедкой осуществляется при помощи рычагов. Рабочий цикл транспортной и прессующей плиты запускается нажатием на клавишу.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</w:t>
      </w:r>
      <w:r w:rsidRPr="000656C1">
        <w:rPr>
          <w:rFonts w:ascii="Arial" w:hAnsi="Arial" w:cs="Arial"/>
        </w:rPr>
        <w:t>, процессом прессования можно управлять так же   рычагами.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Arial" w:hAnsi="Arial" w:cs="Arial"/>
          <w:b/>
          <w:color w:val="000000"/>
        </w:rPr>
      </w:pPr>
      <w:r w:rsidRPr="000656C1">
        <w:rPr>
          <w:rFonts w:ascii="Arial" w:hAnsi="Arial" w:cs="Arial"/>
          <w:b/>
          <w:color w:val="000000"/>
        </w:rPr>
        <w:lastRenderedPageBreak/>
        <w:t>Используемые материалы: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Пол бункера мусоровоза: сталь DOMEX 500 толщиной 6мм,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Стенки бункера мусоровоза: сталь DOMEX 650  толщиной 4 мм,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Пол заднего кармана: HARDOX 400 толщиной 8 мм.</w:t>
      </w:r>
    </w:p>
    <w:p w:rsidR="000656C1" w:rsidRPr="000656C1" w:rsidRDefault="000656C1" w:rsidP="000656C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0656C1" w:rsidRPr="000656C1" w:rsidRDefault="000656C1" w:rsidP="000656C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0656C1">
        <w:rPr>
          <w:rFonts w:ascii="Arial" w:hAnsi="Arial" w:cs="Arial"/>
          <w:b/>
          <w:color w:val="000000"/>
        </w:rPr>
        <w:t>Комплектация оборудование: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Подъемник для контейнеров 120 – 1300 л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Балка захвата мусорных контейнеров с пневматическим приводом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Возможность управления рабочим циклом при помощи рычагов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Гидравлический насос с регулируемой подачей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Очистка приемного бункера во время разгрузки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Гидравлические цилиндры с перевернутыми штоками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Камера заднего вида с установленным в кабине цветным монитором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Подножки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 xml:space="preserve">Гидравлическая лебедка и захваты для работы </w:t>
      </w:r>
    </w:p>
    <w:p w:rsidR="000656C1" w:rsidRPr="000656C1" w:rsidRDefault="000656C1" w:rsidP="000656C1">
      <w:pPr>
        <w:pStyle w:val="a9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с контейнерами 4 – 6 м3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tabs>
          <w:tab w:val="left" w:pos="1276"/>
        </w:tabs>
        <w:contextualSpacing w:val="0"/>
        <w:rPr>
          <w:rFonts w:ascii="Arial" w:hAnsi="Arial" w:cs="Arial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>Масло нагреватель  (220 Вольт).</w:t>
      </w:r>
    </w:p>
    <w:p w:rsidR="000656C1" w:rsidRPr="000656C1" w:rsidRDefault="000656C1" w:rsidP="000656C1">
      <w:pPr>
        <w:pStyle w:val="a9"/>
        <w:numPr>
          <w:ilvl w:val="0"/>
          <w:numId w:val="2"/>
        </w:numPr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 w:rsidRPr="000656C1">
        <w:rPr>
          <w:rFonts w:ascii="Arial" w:hAnsi="Arial" w:cs="Arial"/>
          <w:color w:val="000000"/>
          <w:sz w:val="22"/>
          <w:szCs w:val="22"/>
        </w:rPr>
        <w:t xml:space="preserve">Резервная система управления рабочим циклом </w:t>
      </w:r>
    </w:p>
    <w:p w:rsidR="000656C1" w:rsidRDefault="000656C1" w:rsidP="000656C1">
      <w:pPr>
        <w:pStyle w:val="a9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</w:p>
    <w:p w:rsidR="000656C1" w:rsidRPr="000656C1" w:rsidRDefault="000656C1" w:rsidP="000656C1">
      <w:pPr>
        <w:pStyle w:val="a9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</w:p>
    <w:p w:rsidR="000656C1" w:rsidRPr="000656C1" w:rsidRDefault="000656C1" w:rsidP="000656C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0656C1">
        <w:rPr>
          <w:rFonts w:ascii="Arial" w:hAnsi="Arial" w:cs="Arial"/>
          <w:b/>
          <w:color w:val="000000"/>
        </w:rPr>
        <w:t>Высококачественная окраска:</w:t>
      </w:r>
      <w:bookmarkStart w:id="0" w:name="_GoBack"/>
      <w:bookmarkEnd w:id="0"/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color w:val="000000"/>
        </w:rPr>
      </w:pPr>
      <w:r w:rsidRPr="000656C1">
        <w:rPr>
          <w:rFonts w:ascii="Arial" w:hAnsi="Arial" w:cs="Arial"/>
          <w:color w:val="000000"/>
        </w:rPr>
        <w:t>После дробеструйной обработки, обезжиривание и пассивация стали, компоненты покрываются акриловым автомобильным лако</w:t>
      </w:r>
      <w:proofErr w:type="gramStart"/>
      <w:r w:rsidRPr="000656C1">
        <w:rPr>
          <w:rFonts w:ascii="Arial" w:hAnsi="Arial" w:cs="Arial"/>
          <w:color w:val="000000"/>
        </w:rPr>
        <w:t>м-</w:t>
      </w:r>
      <w:proofErr w:type="gramEnd"/>
      <w:r w:rsidRPr="000656C1">
        <w:rPr>
          <w:rFonts w:ascii="Arial" w:hAnsi="Arial" w:cs="Arial"/>
          <w:color w:val="000000"/>
        </w:rPr>
        <w:t xml:space="preserve"> этот процесс окраски позволяет достичь отличную защиту поверхности от коррозии.</w:t>
      </w: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color w:val="000000"/>
        </w:rPr>
      </w:pPr>
      <w:r w:rsidRPr="000656C1">
        <w:rPr>
          <w:rFonts w:ascii="Arial" w:hAnsi="Arial" w:cs="Arial"/>
          <w:color w:val="000000"/>
        </w:rPr>
        <w:t>Возможность выбора цвета RAL финальной окраски по требованию клиента</w:t>
      </w:r>
    </w:p>
    <w:p w:rsidR="000656C1" w:rsidRPr="000656C1" w:rsidRDefault="000656C1" w:rsidP="000656C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0656C1" w:rsidRPr="000656C1" w:rsidRDefault="000656C1" w:rsidP="000656C1">
      <w:pPr>
        <w:tabs>
          <w:tab w:val="left" w:pos="1276"/>
        </w:tabs>
        <w:spacing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tabs>
          <w:tab w:val="left" w:pos="1276"/>
        </w:tabs>
        <w:spacing w:line="240" w:lineRule="auto"/>
        <w:rPr>
          <w:rFonts w:ascii="Arial" w:hAnsi="Arial" w:cs="Arial"/>
          <w:color w:val="000000"/>
        </w:rPr>
      </w:pPr>
      <w:r w:rsidRPr="000656C1">
        <w:rPr>
          <w:rFonts w:ascii="Arial" w:hAnsi="Arial" w:cs="Arial"/>
          <w:color w:val="000000"/>
        </w:rPr>
        <w:t>Гарантийные условия:  12 месяцев согласно условиям NTM.</w:t>
      </w:r>
    </w:p>
    <w:p w:rsidR="000656C1" w:rsidRPr="000656C1" w:rsidRDefault="000656C1" w:rsidP="000656C1">
      <w:pPr>
        <w:tabs>
          <w:tab w:val="left" w:pos="1276"/>
        </w:tabs>
        <w:spacing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0656C1" w:rsidRPr="000656C1" w:rsidRDefault="000656C1" w:rsidP="000656C1">
      <w:pPr>
        <w:spacing w:line="240" w:lineRule="auto"/>
        <w:rPr>
          <w:rFonts w:ascii="Arial" w:hAnsi="Arial" w:cs="Arial"/>
        </w:rPr>
      </w:pPr>
    </w:p>
    <w:p w:rsidR="00613A14" w:rsidRPr="000656C1" w:rsidRDefault="00613A14" w:rsidP="000656C1">
      <w:pPr>
        <w:spacing w:line="240" w:lineRule="auto"/>
        <w:rPr>
          <w:rFonts w:ascii="Arial" w:hAnsi="Arial" w:cs="Arial"/>
        </w:rPr>
      </w:pPr>
    </w:p>
    <w:sectPr w:rsidR="00613A14" w:rsidRPr="000656C1" w:rsidSect="00FA270E">
      <w:headerReference w:type="default" r:id="rId8"/>
      <w:footerReference w:type="default" r:id="rId9"/>
      <w:pgSz w:w="11906" w:h="16838" w:code="9"/>
      <w:pgMar w:top="1134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C1" w:rsidRDefault="00F40BC1" w:rsidP="00B03B3A">
      <w:pPr>
        <w:spacing w:after="0" w:line="240" w:lineRule="auto"/>
      </w:pPr>
      <w:r>
        <w:separator/>
      </w:r>
    </w:p>
  </w:endnote>
  <w:endnote w:type="continuationSeparator" w:id="0">
    <w:p w:rsidR="00F40BC1" w:rsidRDefault="00F40BC1" w:rsidP="00B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CB6614" w:rsidP="00E340A7">
    <w:pPr>
      <w:pStyle w:val="a7"/>
      <w:ind w:left="-1701"/>
    </w:pPr>
    <w:r>
      <w:rPr>
        <w:noProof/>
        <w:lang w:eastAsia="ru-RU"/>
      </w:rPr>
      <w:drawing>
        <wp:inline distT="0" distB="0" distL="0" distR="0">
          <wp:extent cx="7600950" cy="1200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C1" w:rsidRDefault="00F40BC1" w:rsidP="00B03B3A">
      <w:pPr>
        <w:spacing w:after="0" w:line="240" w:lineRule="auto"/>
      </w:pPr>
      <w:r>
        <w:separator/>
      </w:r>
    </w:p>
  </w:footnote>
  <w:footnote w:type="continuationSeparator" w:id="0">
    <w:p w:rsidR="00F40BC1" w:rsidRDefault="00F40BC1" w:rsidP="00B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CB6614" w:rsidP="00034FE4">
    <w:pPr>
      <w:pStyle w:val="a5"/>
      <w:tabs>
        <w:tab w:val="clear" w:pos="4677"/>
        <w:tab w:val="clear" w:pos="9355"/>
      </w:tabs>
      <w:ind w:left="-851" w:right="-85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310" cy="1475105"/>
          <wp:effectExtent l="0" t="0" r="2540" b="0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4AC"/>
    <w:multiLevelType w:val="hybridMultilevel"/>
    <w:tmpl w:val="A82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34FE4"/>
    <w:rsid w:val="000656C1"/>
    <w:rsid w:val="00092862"/>
    <w:rsid w:val="002F2F33"/>
    <w:rsid w:val="003E7F91"/>
    <w:rsid w:val="004F471E"/>
    <w:rsid w:val="00551069"/>
    <w:rsid w:val="00613A14"/>
    <w:rsid w:val="007A269E"/>
    <w:rsid w:val="00A811A1"/>
    <w:rsid w:val="00AE4FF8"/>
    <w:rsid w:val="00B03B3A"/>
    <w:rsid w:val="00CB6614"/>
    <w:rsid w:val="00E340A7"/>
    <w:rsid w:val="00F40BC1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styleId="a9">
    <w:name w:val="List Paragraph"/>
    <w:basedOn w:val="a"/>
    <w:uiPriority w:val="34"/>
    <w:qFormat/>
    <w:rsid w:val="00CB661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styleId="a9">
    <w:name w:val="List Paragraph"/>
    <w:basedOn w:val="a"/>
    <w:uiPriority w:val="34"/>
    <w:qFormat/>
    <w:rsid w:val="00CB661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2</cp:revision>
  <cp:lastPrinted>2014-03-28T12:37:00Z</cp:lastPrinted>
  <dcterms:created xsi:type="dcterms:W3CDTF">2014-04-03T08:18:00Z</dcterms:created>
  <dcterms:modified xsi:type="dcterms:W3CDTF">2014-04-03T08:18:00Z</dcterms:modified>
</cp:coreProperties>
</file>